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This post is subject to an Occupational Requirement that the postholder be a committed Christian under Part 1 of Schedule 9 to the Equality Act 2010. Please read the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Spurgeons’ Faith Basis</w:t>
        </w:r>
      </w:hyperlink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and confirm the statement below. </w:t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I confirm that I affirm and accept the Spurgeon’s Faith Basis as highlighted on the Spurgeons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website</w:t>
        </w:r>
      </w:hyperlink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- </w:t>
      </w:r>
      <w:r w:rsidDel="00000000" w:rsidR="00000000" w:rsidRPr="00000000">
        <w:rPr>
          <w:b w:val="1"/>
          <w:color w:val="ff0000"/>
          <w:sz w:val="20"/>
          <w:szCs w:val="20"/>
          <w:highlight w:val="white"/>
          <w:rtl w:val="0"/>
        </w:rPr>
        <w:t xml:space="preserve">Yes/ No (Delete as appropriate)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56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100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purgeons.org/about-us/our-faith-basis/" TargetMode="External"/><Relationship Id="rId8" Type="http://schemas.openxmlformats.org/officeDocument/2006/relationships/hyperlink" Target="https://spurgeons.org/about-us/our-faith-basis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kbLxPPPPoeirejwXot/NoSeaA==">AMUW2mVzlsSARDd6QayUnCrojrn0l9QVYmoemWwE0SIrHmbTAOg2xTyZQsl3cQf6IufidxqlMCQXUqewBkh5cIBZzNCyXyghuiDpG5DWsfPDfwcJj+PM3Tc=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