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when you have tooled and equipped others to bring in more income through their fundraising.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IIeAtjNT5ij64+SAHNB3sA6NQ==">AMUW2mW5af6qVMh5KZ6xyoLnnQbA2hWhxJZex10+j0R9DCtxk16hV08J+WvlQ5at2BHujlsLj3g2I6lwMFc8UNo0dq7EuvzZT3TLtfo/qbdHECXsxzi8MpI=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