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-96" w:firstLine="0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96" w:firstLine="0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    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right="-96" w:firstLine="0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  <w:t xml:space="preserve">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0F">
      <w:pPr>
        <w:spacing w:line="240" w:lineRule="auto"/>
        <w:ind w:left="3555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0">
      <w:pPr>
        <w:spacing w:line="240" w:lineRule="auto"/>
        <w:ind w:left="3510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1">
      <w:pPr>
        <w:spacing w:line="240" w:lineRule="auto"/>
        <w:ind w:left="3465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2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right="-96" w:firstLine="0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3555" w:right="-96" w:firstLine="45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  <w:tab/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We only contact your references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post</w:t>
      </w:r>
      <w:r w:rsidDel="00000000" w:rsidR="00000000" w:rsidRPr="00000000">
        <w:rPr>
          <w:i w:val="1"/>
          <w:sz w:val="18"/>
          <w:szCs w:val="18"/>
          <w:rtl w:val="0"/>
        </w:rPr>
        <w:t xml:space="preserve">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1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When you applied for this role, who did you ask for advice?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2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Give an example of when you knew God was with you within a difficult situation?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3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  <w:t xml:space="preserve">What is the one emerging trend within data visualisation that the organisation should be aware of?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</w:p>
    <w:p w:rsidR="00000000" w:rsidDel="00000000" w:rsidP="00000000" w:rsidRDefault="00000000" w:rsidRPr="00000000" w14:paraId="0000005F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4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Briefly provide how you came to follow Jesus Christ as Lord, and how your faith impacts your work.</w:t>
      </w:r>
    </w:p>
    <w:p w:rsidR="00000000" w:rsidDel="00000000" w:rsidP="00000000" w:rsidRDefault="00000000" w:rsidRPr="00000000" w14:paraId="00000064">
      <w:pPr>
        <w:spacing w:line="240" w:lineRule="auto"/>
        <w:ind w:right="-96"/>
        <w:rPr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right="-96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714u8v3utdsbnoFAL/dNgEcSIQ==">AMUW2mVzh7SSz7e+uUcwREf/oaMgVHoLzno143ejLKVFh5qSIEMgR9kU1i55GpT9hlEMdddbIXI3p8qgDYMQbprPkwK0FduAC8DLrW0hVgZzyoOQYEUClyDXrATxkVooWNvp+j0qrFPA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